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6" w:rsidRDefault="00907B56" w:rsidP="00907B56">
      <w:pPr>
        <w:spacing w:after="0" w:line="264" w:lineRule="atLeast"/>
        <w:ind w:firstLine="708"/>
        <w:jc w:val="center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Исчисление </w:t>
      </w: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квоты для приема на работу</w:t>
      </w:r>
      <w:r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 инвалидов</w:t>
      </w:r>
    </w:p>
    <w:p w:rsidR="00907B56" w:rsidRDefault="00907B56" w:rsidP="00907B56">
      <w:pPr>
        <w:spacing w:after="0" w:line="264" w:lineRule="atLeast"/>
        <w:ind w:firstLine="708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</w:p>
    <w:p w:rsidR="00907B56" w:rsidRPr="00907B56" w:rsidRDefault="00907B56" w:rsidP="004F65C6">
      <w:pPr>
        <w:spacing w:after="0" w:line="264" w:lineRule="atLeast"/>
        <w:ind w:firstLine="708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Федеральным законом от 28.12.2013 года № 421-ФЗ «О внесении изменений в отдельные законодательные акты Российской Федерации в связи с принятием Федерального закона </w:t>
      </w:r>
      <w:r w:rsidR="004F65C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                    </w:t>
      </w: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«О специальной оценке условий труда» </w:t>
      </w:r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>внесены изменения в статью 21 Федерального закона от 24.11.1995 года № 181-ФЗ «О социальной защите инвалидов в Российской Федерации»:</w:t>
      </w:r>
    </w:p>
    <w:p w:rsidR="00907B56" w:rsidRPr="00907B56" w:rsidRDefault="00907B56" w:rsidP="004F65C6">
      <w:pPr>
        <w:spacing w:after="0" w:line="264" w:lineRule="atLeast"/>
        <w:ind w:firstLine="708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При исчислении квоты для приема на работу инвалидов в среднесписочную численность работников </w:t>
      </w:r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 xml:space="preserve">не включаются работники, условия труда которых отнесены к вредным </w:t>
      </w:r>
      <w:r w:rsidR="004F65C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 xml:space="preserve">                  </w:t>
      </w:r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>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907B56" w:rsidRPr="00907B56" w:rsidRDefault="00907B56" w:rsidP="004F65C6">
      <w:pPr>
        <w:spacing w:after="0" w:line="264" w:lineRule="atLeast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proofErr w:type="gramStart"/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Расчет числа рабочих мест в счет установленной квоты производится работодателями исходя </w:t>
      </w:r>
      <w:r w:rsidR="004F65C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 xml:space="preserve">               </w:t>
      </w: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из среднесписочной численности работников, которая указана в сведениях федерального государственного статистического наблюдения о численности, заработной плате и движении работников без внешних совместителей (форма № П-4) и документов, </w:t>
      </w:r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>подтверждающих отнесение условий труда работников к вредным и (или) опасным по результатам аттестации рабочих мест по условиям труда.</w:t>
      </w:r>
      <w:proofErr w:type="gramEnd"/>
    </w:p>
    <w:p w:rsidR="00907B56" w:rsidRPr="00907B56" w:rsidRDefault="00907B56" w:rsidP="004F65C6">
      <w:pPr>
        <w:spacing w:after="0" w:line="264" w:lineRule="atLeast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Примеры расчета средней списочной численности работников для исчисления квоты для приема на работу инвалидов: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418"/>
        <w:gridCol w:w="3073"/>
      </w:tblGrid>
      <w:tr w:rsidR="00907B56" w:rsidRPr="00907B56" w:rsidTr="00907B5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Средняя списочная численность (форма П-4)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Численность работников, условия труда которых отнесены к вредным и (или) опасным условиям труда по результатам аттестации рабочих мест по условиям труда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Средняя списочная численности работников для исчисления квоты для приема на работу инвалидов</w:t>
            </w:r>
          </w:p>
        </w:tc>
      </w:tr>
      <w:tr w:rsidR="00907B56" w:rsidRPr="00907B56" w:rsidTr="00907B5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80-40=40</w:t>
            </w:r>
          </w:p>
        </w:tc>
      </w:tr>
      <w:tr w:rsidR="00907B56" w:rsidRPr="00907B56" w:rsidTr="00907B5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150-100=50</w:t>
            </w:r>
          </w:p>
        </w:tc>
      </w:tr>
      <w:tr w:rsidR="00907B56" w:rsidRPr="00907B56" w:rsidTr="00907B5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200-170=30*</w:t>
            </w:r>
          </w:p>
        </w:tc>
      </w:tr>
    </w:tbl>
    <w:p w:rsidR="00907B56" w:rsidRPr="00907B56" w:rsidRDefault="00907B56" w:rsidP="004F65C6">
      <w:pPr>
        <w:spacing w:after="0" w:line="264" w:lineRule="atLeast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*если при расчете средней списочной численности работников для исчисления квоты для приема на работу инвалидов получи</w:t>
      </w:r>
      <w:bookmarkStart w:id="0" w:name="_GoBack"/>
      <w:bookmarkEnd w:id="0"/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лось </w:t>
      </w:r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>число менее 35, то работодатель не подлежит квотированию.</w:t>
      </w:r>
    </w:p>
    <w:p w:rsidR="00907B56" w:rsidRPr="00907B56" w:rsidRDefault="00907B56" w:rsidP="004F65C6">
      <w:pPr>
        <w:spacing w:after="0" w:line="264" w:lineRule="atLeast"/>
        <w:ind w:firstLine="708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proofErr w:type="gramStart"/>
      <w:r w:rsidRPr="00907B56">
        <w:rPr>
          <w:rFonts w:ascii="Verdana" w:eastAsia="Times New Roman" w:hAnsi="Verdana" w:cs="Times New Roman"/>
          <w:b/>
          <w:bCs/>
          <w:color w:val="345D7C"/>
          <w:sz w:val="18"/>
          <w:szCs w:val="18"/>
          <w:lang w:eastAsia="ru-RU"/>
        </w:rPr>
        <w:t>Документы, подтверждающие отнесение условий труда работников к вредным и (или) опасным, должны быть оформлены по результатам аттестации рабочих мест по условиям труда.</w:t>
      </w:r>
      <w:proofErr w:type="gramEnd"/>
    </w:p>
    <w:p w:rsidR="00907B56" w:rsidRPr="00907B56" w:rsidRDefault="00907B56" w:rsidP="004F65C6">
      <w:pPr>
        <w:spacing w:after="0" w:line="264" w:lineRule="atLeast"/>
        <w:jc w:val="both"/>
        <w:textAlignment w:val="top"/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</w:pP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При расчете количества рабочих ме</w:t>
      </w:r>
      <w:proofErr w:type="gramStart"/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ст в сч</w:t>
      </w:r>
      <w:proofErr w:type="gramEnd"/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ет установленной квоты для приема на работу инвалидов применяется принцип математического округления до целого числа. Наприме</w:t>
      </w:r>
      <w:r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р</w:t>
      </w:r>
      <w:r w:rsidRPr="00907B56">
        <w:rPr>
          <w:rFonts w:ascii="Verdana" w:eastAsia="Times New Roman" w:hAnsi="Verdana" w:cs="Times New Roman"/>
          <w:color w:val="345D7C"/>
          <w:sz w:val="18"/>
          <w:szCs w:val="18"/>
          <w:lang w:eastAsia="ru-RU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659"/>
        <w:gridCol w:w="3042"/>
      </w:tblGrid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Средняя списочная численность, чел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Расчет квоты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Квота после округления</w:t>
            </w:r>
          </w:p>
        </w:tc>
      </w:tr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35*2%=0,7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</w:t>
            </w:r>
          </w:p>
        </w:tc>
      </w:tr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40*2%=0,8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</w:t>
            </w:r>
          </w:p>
        </w:tc>
      </w:tr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49*2%=0,98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</w:t>
            </w:r>
          </w:p>
        </w:tc>
      </w:tr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52*2%=1,04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1</w:t>
            </w:r>
          </w:p>
        </w:tc>
      </w:tr>
      <w:tr w:rsidR="00907B56" w:rsidRPr="00907B56" w:rsidTr="00907B5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78*2%=1,5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907B56" w:rsidRPr="00907B56" w:rsidRDefault="00907B56" w:rsidP="00907B56">
            <w:pPr>
              <w:spacing w:after="0" w:line="264" w:lineRule="atLeast"/>
              <w:jc w:val="center"/>
              <w:textAlignment w:val="top"/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</w:pPr>
            <w:r w:rsidRPr="00907B56">
              <w:rPr>
                <w:rFonts w:ascii="Verdana" w:eastAsia="Times New Roman" w:hAnsi="Verdana" w:cs="Times New Roman"/>
                <w:color w:val="345D7C"/>
                <w:sz w:val="18"/>
                <w:szCs w:val="18"/>
                <w:lang w:eastAsia="ru-RU"/>
              </w:rPr>
              <w:t>2</w:t>
            </w:r>
          </w:p>
        </w:tc>
      </w:tr>
    </w:tbl>
    <w:p w:rsidR="00016A27" w:rsidRDefault="004F65C6"/>
    <w:sectPr w:rsidR="000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6"/>
    <w:rsid w:val="004F65C6"/>
    <w:rsid w:val="0071686A"/>
    <w:rsid w:val="00907B56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 Виктор Николаевич</dc:creator>
  <cp:lastModifiedBy>Панарин Виктор Николаевич</cp:lastModifiedBy>
  <cp:revision>2</cp:revision>
  <dcterms:created xsi:type="dcterms:W3CDTF">2015-06-11T06:13:00Z</dcterms:created>
  <dcterms:modified xsi:type="dcterms:W3CDTF">2015-06-11T06:20:00Z</dcterms:modified>
</cp:coreProperties>
</file>